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20" w:lineRule="exact"/>
        <w:jc w:val="center"/>
        <w:rPr>
          <w:rFonts w:ascii="华文中宋" w:hAnsi="华文中宋" w:eastAsia="华文中宋"/>
          <w:b/>
          <w:sz w:val="28"/>
          <w:szCs w:val="28"/>
        </w:rPr>
      </w:pPr>
      <w:r>
        <w:rPr>
          <w:rFonts w:hint="eastAsia" w:ascii="华文中宋" w:hAnsi="华文中宋" w:eastAsia="华文中宋"/>
          <w:b/>
          <w:sz w:val="28"/>
          <w:szCs w:val="28"/>
        </w:rPr>
        <w:t>食品科技学院推荐免试研究生综合考核计分细则</w:t>
      </w:r>
    </w:p>
    <w:tbl>
      <w:tblPr>
        <w:tblStyle w:val="7"/>
        <w:tblpPr w:leftFromText="180" w:rightFromText="180" w:vertAnchor="page" w:horzAnchor="page" w:tblpX="1050" w:tblpY="1203"/>
        <w:tblW w:w="1031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6"/>
        <w:gridCol w:w="861"/>
        <w:gridCol w:w="4433"/>
        <w:gridCol w:w="1900"/>
        <w:gridCol w:w="19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" w:hRule="atLeast"/>
        </w:trPr>
        <w:tc>
          <w:tcPr>
            <w:tcW w:w="1136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cs="宋体" w:asciiTheme="minorEastAsia" w:hAnsiTheme="minorEastAsia"/>
                <w:b/>
                <w:kern w:val="0"/>
                <w:sz w:val="20"/>
                <w:szCs w:val="18"/>
              </w:rPr>
            </w:pPr>
            <w:r>
              <w:rPr>
                <w:rFonts w:hint="eastAsia" w:cs="宋体" w:asciiTheme="minorEastAsia" w:hAnsiTheme="minorEastAsia"/>
                <w:b/>
                <w:kern w:val="0"/>
                <w:sz w:val="20"/>
                <w:szCs w:val="18"/>
              </w:rPr>
              <w:t>分类总分（100分）</w:t>
            </w:r>
          </w:p>
        </w:tc>
        <w:tc>
          <w:tcPr>
            <w:tcW w:w="5294" w:type="dxa"/>
            <w:gridSpan w:val="2"/>
            <w:vAlign w:val="center"/>
          </w:tcPr>
          <w:p>
            <w:pPr>
              <w:widowControl/>
              <w:spacing w:line="240" w:lineRule="exact"/>
              <w:jc w:val="center"/>
              <w:rPr>
                <w:rFonts w:cs="宋体" w:asciiTheme="minorEastAsia" w:hAnsiTheme="minorEastAsia"/>
                <w:b/>
                <w:kern w:val="0"/>
                <w:sz w:val="20"/>
                <w:szCs w:val="18"/>
              </w:rPr>
            </w:pPr>
            <w:r>
              <w:rPr>
                <w:rFonts w:hint="eastAsia" w:cs="宋体" w:asciiTheme="minorEastAsia" w:hAnsiTheme="minorEastAsia"/>
                <w:b/>
                <w:kern w:val="0"/>
                <w:sz w:val="20"/>
                <w:szCs w:val="18"/>
              </w:rPr>
              <w:t>项目类别</w:t>
            </w:r>
          </w:p>
        </w:tc>
        <w:tc>
          <w:tcPr>
            <w:tcW w:w="190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cs="宋体" w:asciiTheme="minorEastAsia" w:hAnsiTheme="minorEastAsia"/>
                <w:b/>
                <w:kern w:val="0"/>
                <w:sz w:val="20"/>
                <w:szCs w:val="18"/>
              </w:rPr>
            </w:pPr>
            <w:r>
              <w:rPr>
                <w:rFonts w:hint="eastAsia" w:cs="宋体" w:asciiTheme="minorEastAsia" w:hAnsiTheme="minorEastAsia"/>
                <w:b/>
                <w:kern w:val="0"/>
                <w:sz w:val="20"/>
                <w:szCs w:val="18"/>
              </w:rPr>
              <w:t>分值</w:t>
            </w:r>
          </w:p>
        </w:tc>
        <w:tc>
          <w:tcPr>
            <w:tcW w:w="1984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cs="宋体" w:asciiTheme="minorEastAsia" w:hAnsiTheme="minorEastAsia"/>
                <w:b/>
                <w:kern w:val="0"/>
                <w:sz w:val="20"/>
                <w:szCs w:val="18"/>
              </w:rPr>
            </w:pPr>
            <w:r>
              <w:rPr>
                <w:rFonts w:hint="eastAsia" w:cs="宋体" w:asciiTheme="minorEastAsia" w:hAnsiTheme="minorEastAsia"/>
                <w:b/>
                <w:kern w:val="0"/>
                <w:sz w:val="20"/>
                <w:szCs w:val="18"/>
              </w:rPr>
              <w:t>备 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1136" w:type="dxa"/>
            <w:vMerge w:val="restart"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荣誉表彰及经历类</w:t>
            </w:r>
          </w:p>
          <w:p>
            <w:pPr>
              <w:widowControl/>
              <w:spacing w:line="320" w:lineRule="exact"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（15分）</w:t>
            </w:r>
          </w:p>
        </w:tc>
        <w:tc>
          <w:tcPr>
            <w:tcW w:w="5294" w:type="dxa"/>
            <w:gridSpan w:val="2"/>
            <w:vAlign w:val="center"/>
          </w:tcPr>
          <w:p>
            <w:pPr>
              <w:widowControl/>
              <w:spacing w:line="300" w:lineRule="exact"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参军入伍服兵役（2年以上/2年）</w:t>
            </w:r>
          </w:p>
        </w:tc>
        <w:tc>
          <w:tcPr>
            <w:tcW w:w="1900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（8/5）分</w:t>
            </w:r>
          </w:p>
        </w:tc>
        <w:tc>
          <w:tcPr>
            <w:tcW w:w="1984" w:type="dxa"/>
            <w:vMerge w:val="restart"/>
            <w:vAlign w:val="center"/>
          </w:tcPr>
          <w:p>
            <w:pPr>
              <w:widowControl/>
              <w:numPr>
                <w:ilvl w:val="0"/>
                <w:numId w:val="1"/>
              </w:numPr>
              <w:spacing w:line="280" w:lineRule="exact"/>
              <w:jc w:val="left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累计满15分止；</w:t>
            </w:r>
          </w:p>
          <w:p>
            <w:pPr>
              <w:widowControl/>
              <w:numPr>
                <w:ilvl w:val="0"/>
                <w:numId w:val="1"/>
              </w:numPr>
              <w:spacing w:line="280" w:lineRule="exact"/>
              <w:jc w:val="left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校级须为学校机关部处以上表彰；</w:t>
            </w:r>
          </w:p>
          <w:p>
            <w:pPr>
              <w:widowControl/>
              <w:numPr>
                <w:ilvl w:val="0"/>
                <w:numId w:val="1"/>
              </w:numPr>
              <w:spacing w:line="280" w:lineRule="exact"/>
              <w:jc w:val="left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省级以上主流媒体以党委宣传部公布为准；</w:t>
            </w:r>
          </w:p>
          <w:p>
            <w:pPr>
              <w:widowControl/>
              <w:spacing w:line="280" w:lineRule="exact"/>
              <w:jc w:val="left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4.院级同一荣誉不重复计分；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1136" w:type="dxa"/>
            <w:vMerge w:val="continue"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</w:p>
        </w:tc>
        <w:tc>
          <w:tcPr>
            <w:tcW w:w="5294" w:type="dxa"/>
            <w:gridSpan w:val="2"/>
            <w:vAlign w:val="center"/>
          </w:tcPr>
          <w:p>
            <w:pPr>
              <w:widowControl/>
              <w:spacing w:line="300" w:lineRule="exact"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省级以上“三好学生”“优秀党员”“优秀学干”等荣誉称号</w:t>
            </w:r>
          </w:p>
        </w:tc>
        <w:tc>
          <w:tcPr>
            <w:tcW w:w="1900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5分/次</w:t>
            </w:r>
          </w:p>
        </w:tc>
        <w:tc>
          <w:tcPr>
            <w:tcW w:w="1984" w:type="dxa"/>
            <w:vMerge w:val="continue"/>
            <w:vAlign w:val="center"/>
          </w:tcPr>
          <w:p>
            <w:pPr>
              <w:widowControl/>
              <w:spacing w:line="280" w:lineRule="exact"/>
              <w:jc w:val="left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36" w:type="dxa"/>
            <w:vMerge w:val="continue"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</w:p>
        </w:tc>
        <w:tc>
          <w:tcPr>
            <w:tcW w:w="5294" w:type="dxa"/>
            <w:gridSpan w:val="2"/>
            <w:vAlign w:val="center"/>
          </w:tcPr>
          <w:p>
            <w:pPr>
              <w:widowControl/>
              <w:spacing w:line="240" w:lineRule="exact"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校十佳学生、十佳学生干部、十佳社团干部、优秀党员、团员标兵、钟山学子之星等</w:t>
            </w:r>
          </w:p>
        </w:tc>
        <w:tc>
          <w:tcPr>
            <w:tcW w:w="1900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4分/次</w:t>
            </w:r>
          </w:p>
        </w:tc>
        <w:tc>
          <w:tcPr>
            <w:tcW w:w="1984" w:type="dxa"/>
            <w:vMerge w:val="continue"/>
            <w:vAlign w:val="center"/>
          </w:tcPr>
          <w:p>
            <w:pPr>
              <w:widowControl/>
              <w:spacing w:line="280" w:lineRule="exact"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136" w:type="dxa"/>
            <w:vMerge w:val="continue"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</w:p>
        </w:tc>
        <w:tc>
          <w:tcPr>
            <w:tcW w:w="5294" w:type="dxa"/>
            <w:gridSpan w:val="2"/>
            <w:vAlign w:val="center"/>
          </w:tcPr>
          <w:p>
            <w:pPr>
              <w:widowControl/>
              <w:spacing w:line="300" w:lineRule="exact"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个人事迹获得省级以上主流媒体报道</w:t>
            </w:r>
          </w:p>
        </w:tc>
        <w:tc>
          <w:tcPr>
            <w:tcW w:w="1900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3分/篇</w:t>
            </w:r>
          </w:p>
        </w:tc>
        <w:tc>
          <w:tcPr>
            <w:tcW w:w="1984" w:type="dxa"/>
            <w:vMerge w:val="continue"/>
            <w:vAlign w:val="center"/>
          </w:tcPr>
          <w:p>
            <w:pPr>
              <w:widowControl/>
              <w:spacing w:line="280" w:lineRule="exact"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136" w:type="dxa"/>
            <w:vMerge w:val="continue"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</w:p>
        </w:tc>
        <w:tc>
          <w:tcPr>
            <w:tcW w:w="5294" w:type="dxa"/>
            <w:gridSpan w:val="2"/>
            <w:vAlign w:val="center"/>
          </w:tcPr>
          <w:p>
            <w:pPr>
              <w:widowControl/>
              <w:spacing w:line="300" w:lineRule="exact"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市级相关主管部门最高奖励或表彰</w:t>
            </w:r>
          </w:p>
        </w:tc>
        <w:tc>
          <w:tcPr>
            <w:tcW w:w="1900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2.5分/次</w:t>
            </w:r>
          </w:p>
        </w:tc>
        <w:tc>
          <w:tcPr>
            <w:tcW w:w="1984" w:type="dxa"/>
            <w:vMerge w:val="continue"/>
            <w:vAlign w:val="center"/>
          </w:tcPr>
          <w:p>
            <w:pPr>
              <w:widowControl/>
              <w:spacing w:line="280" w:lineRule="exact"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136" w:type="dxa"/>
            <w:vMerge w:val="continue"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</w:p>
        </w:tc>
        <w:tc>
          <w:tcPr>
            <w:tcW w:w="5294" w:type="dxa"/>
            <w:gridSpan w:val="2"/>
            <w:vAlign w:val="center"/>
          </w:tcPr>
          <w:p>
            <w:pPr>
              <w:widowControl/>
              <w:spacing w:line="240" w:lineRule="exact"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校优秀学生干部、优秀志愿者、社会实践先进个人、优秀团干/团员以及院优秀党员等</w:t>
            </w:r>
          </w:p>
        </w:tc>
        <w:tc>
          <w:tcPr>
            <w:tcW w:w="1900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2.5分</w:t>
            </w:r>
            <w:r>
              <w:rPr>
                <w:rFonts w:cs="宋体" w:asciiTheme="minorEastAsia" w:hAnsiTheme="minorEastAsia"/>
                <w:kern w:val="0"/>
                <w:sz w:val="18"/>
                <w:szCs w:val="18"/>
              </w:rPr>
              <w:t>/</w:t>
            </w: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次</w:t>
            </w:r>
          </w:p>
        </w:tc>
        <w:tc>
          <w:tcPr>
            <w:tcW w:w="1984" w:type="dxa"/>
            <w:vMerge w:val="continue"/>
            <w:vAlign w:val="center"/>
          </w:tcPr>
          <w:p>
            <w:pPr>
              <w:widowControl/>
              <w:spacing w:line="280" w:lineRule="exact"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136" w:type="dxa"/>
            <w:vMerge w:val="continue"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</w:p>
        </w:tc>
        <w:tc>
          <w:tcPr>
            <w:tcW w:w="5294" w:type="dxa"/>
            <w:gridSpan w:val="2"/>
            <w:vAlign w:val="center"/>
          </w:tcPr>
          <w:p>
            <w:pPr>
              <w:widowControl/>
              <w:spacing w:line="300" w:lineRule="exact"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院优秀学生干部、优秀团干/团员等</w:t>
            </w:r>
          </w:p>
        </w:tc>
        <w:tc>
          <w:tcPr>
            <w:tcW w:w="1900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1分</w:t>
            </w:r>
            <w:r>
              <w:rPr>
                <w:rFonts w:cs="宋体" w:asciiTheme="minorEastAsia" w:hAnsiTheme="minorEastAsia"/>
                <w:kern w:val="0"/>
                <w:sz w:val="18"/>
                <w:szCs w:val="18"/>
              </w:rPr>
              <w:t>/</w:t>
            </w: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次</w:t>
            </w:r>
          </w:p>
        </w:tc>
        <w:tc>
          <w:tcPr>
            <w:tcW w:w="1984" w:type="dxa"/>
            <w:vMerge w:val="continue"/>
            <w:vAlign w:val="center"/>
          </w:tcPr>
          <w:p>
            <w:pPr>
              <w:widowControl/>
              <w:spacing w:line="280" w:lineRule="exact"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136" w:type="dxa"/>
            <w:vMerge w:val="restart"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综合竞赛类（10分）</w:t>
            </w:r>
          </w:p>
        </w:tc>
        <w:tc>
          <w:tcPr>
            <w:tcW w:w="5294" w:type="dxa"/>
            <w:gridSpan w:val="2"/>
            <w:vAlign w:val="center"/>
          </w:tcPr>
          <w:p>
            <w:pPr>
              <w:widowControl/>
              <w:spacing w:line="300" w:lineRule="exact"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国家级三等奖及以上</w:t>
            </w:r>
          </w:p>
        </w:tc>
        <w:tc>
          <w:tcPr>
            <w:tcW w:w="1900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4分/次</w:t>
            </w:r>
          </w:p>
        </w:tc>
        <w:tc>
          <w:tcPr>
            <w:tcW w:w="1984" w:type="dxa"/>
            <w:vMerge w:val="restart"/>
            <w:vAlign w:val="center"/>
          </w:tcPr>
          <w:p>
            <w:pPr>
              <w:widowControl/>
              <w:spacing w:line="240" w:lineRule="exact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1.累计满10分止；</w:t>
            </w:r>
          </w:p>
          <w:p>
            <w:pPr>
              <w:widowControl/>
              <w:spacing w:line="240" w:lineRule="exact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2.赛事认定以落款章为准；同类比赛按最高项计；团体奖折半计分；不含科技赛事。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" w:hRule="atLeast"/>
        </w:trPr>
        <w:tc>
          <w:tcPr>
            <w:tcW w:w="1136" w:type="dxa"/>
            <w:vMerge w:val="continue"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</w:p>
        </w:tc>
        <w:tc>
          <w:tcPr>
            <w:tcW w:w="5294" w:type="dxa"/>
            <w:gridSpan w:val="2"/>
            <w:vAlign w:val="center"/>
          </w:tcPr>
          <w:p>
            <w:pPr>
              <w:widowControl/>
              <w:spacing w:line="300" w:lineRule="exact"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省级二等奖（或第3名）及以上/省级三等奖</w:t>
            </w:r>
          </w:p>
        </w:tc>
        <w:tc>
          <w:tcPr>
            <w:tcW w:w="1900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(3/1.5)分</w:t>
            </w:r>
            <w:r>
              <w:rPr>
                <w:rFonts w:cs="宋体" w:asciiTheme="minorEastAsia" w:hAnsiTheme="minorEastAsia"/>
                <w:kern w:val="0"/>
                <w:sz w:val="18"/>
                <w:szCs w:val="18"/>
              </w:rPr>
              <w:t>/</w:t>
            </w: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次</w:t>
            </w:r>
          </w:p>
        </w:tc>
        <w:tc>
          <w:tcPr>
            <w:tcW w:w="1984" w:type="dxa"/>
            <w:vMerge w:val="continue"/>
            <w:vAlign w:val="center"/>
          </w:tcPr>
          <w:p>
            <w:pPr>
              <w:widowControl/>
              <w:spacing w:line="280" w:lineRule="exact"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" w:hRule="atLeast"/>
        </w:trPr>
        <w:tc>
          <w:tcPr>
            <w:tcW w:w="1136" w:type="dxa"/>
            <w:vMerge w:val="continue"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</w:p>
        </w:tc>
        <w:tc>
          <w:tcPr>
            <w:tcW w:w="5294" w:type="dxa"/>
            <w:gridSpan w:val="2"/>
            <w:vAlign w:val="center"/>
          </w:tcPr>
          <w:p>
            <w:pPr>
              <w:widowControl/>
              <w:spacing w:line="300" w:lineRule="exact"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校级一等奖（或第2名）及以上</w:t>
            </w:r>
          </w:p>
        </w:tc>
        <w:tc>
          <w:tcPr>
            <w:tcW w:w="1900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2分</w:t>
            </w:r>
            <w:r>
              <w:rPr>
                <w:rFonts w:cs="宋体" w:asciiTheme="minorEastAsia" w:hAnsiTheme="minorEastAsia"/>
                <w:kern w:val="0"/>
                <w:sz w:val="18"/>
                <w:szCs w:val="18"/>
              </w:rPr>
              <w:t>/</w:t>
            </w: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次</w:t>
            </w:r>
          </w:p>
        </w:tc>
        <w:tc>
          <w:tcPr>
            <w:tcW w:w="1984" w:type="dxa"/>
            <w:vMerge w:val="continue"/>
            <w:vAlign w:val="center"/>
          </w:tcPr>
          <w:p>
            <w:pPr>
              <w:widowControl/>
              <w:spacing w:line="280" w:lineRule="exact"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136" w:type="dxa"/>
            <w:vMerge w:val="continue"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</w:p>
        </w:tc>
        <w:tc>
          <w:tcPr>
            <w:tcW w:w="5294" w:type="dxa"/>
            <w:gridSpan w:val="2"/>
            <w:vAlign w:val="center"/>
          </w:tcPr>
          <w:p>
            <w:pPr>
              <w:widowControl/>
              <w:spacing w:line="300" w:lineRule="exact"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校级二等奖（或第5名）及以上/校级三等奖（或第8名）及以上</w:t>
            </w:r>
          </w:p>
        </w:tc>
        <w:tc>
          <w:tcPr>
            <w:tcW w:w="1900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(1/0.5)分</w:t>
            </w:r>
            <w:r>
              <w:rPr>
                <w:rFonts w:cs="宋体" w:asciiTheme="minorEastAsia" w:hAnsiTheme="minorEastAsia"/>
                <w:kern w:val="0"/>
                <w:sz w:val="18"/>
                <w:szCs w:val="18"/>
              </w:rPr>
              <w:t>/</w:t>
            </w: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次</w:t>
            </w:r>
          </w:p>
        </w:tc>
        <w:tc>
          <w:tcPr>
            <w:tcW w:w="1984" w:type="dxa"/>
            <w:vMerge w:val="continue"/>
            <w:vAlign w:val="center"/>
          </w:tcPr>
          <w:p>
            <w:pPr>
              <w:widowControl/>
              <w:spacing w:line="280" w:lineRule="exact"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1136" w:type="dxa"/>
            <w:vMerge w:val="restart"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国际交流类（10分）</w:t>
            </w:r>
          </w:p>
        </w:tc>
        <w:tc>
          <w:tcPr>
            <w:tcW w:w="5294" w:type="dxa"/>
            <w:gridSpan w:val="2"/>
            <w:vAlign w:val="center"/>
          </w:tcPr>
          <w:p>
            <w:pPr>
              <w:widowControl/>
              <w:spacing w:line="300" w:lineRule="exact"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国家留学基金委优秀本科生出国交流项目</w:t>
            </w:r>
          </w:p>
        </w:tc>
        <w:tc>
          <w:tcPr>
            <w:tcW w:w="1900" w:type="dxa"/>
            <w:vAlign w:val="center"/>
          </w:tcPr>
          <w:p>
            <w:pPr>
              <w:spacing w:line="300" w:lineRule="exact"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5分</w:t>
            </w:r>
            <w:r>
              <w:rPr>
                <w:rFonts w:cs="宋体" w:asciiTheme="minorEastAsia" w:hAnsiTheme="minorEastAsia"/>
                <w:kern w:val="0"/>
                <w:sz w:val="18"/>
                <w:szCs w:val="18"/>
              </w:rPr>
              <w:t>/</w:t>
            </w: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次</w:t>
            </w:r>
          </w:p>
        </w:tc>
        <w:tc>
          <w:tcPr>
            <w:tcW w:w="1984" w:type="dxa"/>
            <w:vMerge w:val="restart"/>
            <w:vAlign w:val="center"/>
          </w:tcPr>
          <w:p>
            <w:pPr>
              <w:widowControl/>
              <w:spacing w:line="240" w:lineRule="exact"/>
              <w:jc w:val="left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1.累计满10分止；</w:t>
            </w:r>
          </w:p>
          <w:p>
            <w:pPr>
              <w:widowControl/>
              <w:spacing w:line="240" w:lineRule="exact"/>
              <w:jc w:val="left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2.同一外语资格考试不累加；</w:t>
            </w:r>
          </w:p>
          <w:p>
            <w:pPr>
              <w:widowControl/>
              <w:spacing w:line="240" w:lineRule="exact"/>
              <w:jc w:val="left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3.同一项目按最高分计，可与英语成绩叠加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36" w:type="dxa"/>
            <w:vMerge w:val="continue"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</w:p>
        </w:tc>
        <w:tc>
          <w:tcPr>
            <w:tcW w:w="5294" w:type="dxa"/>
            <w:gridSpan w:val="2"/>
            <w:vAlign w:val="center"/>
          </w:tcPr>
          <w:p>
            <w:pPr>
              <w:widowControl/>
              <w:spacing w:line="300" w:lineRule="exact"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江苏高校学生境外学习政府奖学金</w:t>
            </w:r>
          </w:p>
        </w:tc>
        <w:tc>
          <w:tcPr>
            <w:tcW w:w="1900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5分</w:t>
            </w:r>
            <w:r>
              <w:rPr>
                <w:rFonts w:cs="宋体" w:asciiTheme="minorEastAsia" w:hAnsiTheme="minorEastAsia"/>
                <w:kern w:val="0"/>
                <w:sz w:val="18"/>
                <w:szCs w:val="18"/>
              </w:rPr>
              <w:t>/</w:t>
            </w: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次</w:t>
            </w:r>
          </w:p>
        </w:tc>
        <w:tc>
          <w:tcPr>
            <w:tcW w:w="1984" w:type="dxa"/>
            <w:vMerge w:val="continue"/>
            <w:vAlign w:val="center"/>
          </w:tcPr>
          <w:p>
            <w:pPr>
              <w:widowControl/>
              <w:spacing w:line="280" w:lineRule="exact"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" w:hRule="atLeast"/>
        </w:trPr>
        <w:tc>
          <w:tcPr>
            <w:tcW w:w="1136" w:type="dxa"/>
            <w:vMerge w:val="continue"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</w:p>
        </w:tc>
        <w:tc>
          <w:tcPr>
            <w:tcW w:w="5294" w:type="dxa"/>
            <w:gridSpan w:val="2"/>
            <w:vAlign w:val="center"/>
          </w:tcPr>
          <w:p>
            <w:pPr>
              <w:widowControl/>
              <w:spacing w:line="300" w:lineRule="exact"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国际组织实习经历（不少于三周）</w:t>
            </w:r>
          </w:p>
        </w:tc>
        <w:tc>
          <w:tcPr>
            <w:tcW w:w="1900" w:type="dxa"/>
            <w:vAlign w:val="center"/>
          </w:tcPr>
          <w:p>
            <w:pPr>
              <w:spacing w:line="300" w:lineRule="exact"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5分/次</w:t>
            </w:r>
          </w:p>
        </w:tc>
        <w:tc>
          <w:tcPr>
            <w:tcW w:w="1984" w:type="dxa"/>
            <w:vMerge w:val="continue"/>
            <w:vAlign w:val="center"/>
          </w:tcPr>
          <w:p>
            <w:pPr>
              <w:widowControl/>
              <w:spacing w:line="280" w:lineRule="exact"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" w:hRule="atLeast"/>
        </w:trPr>
        <w:tc>
          <w:tcPr>
            <w:tcW w:w="1136" w:type="dxa"/>
            <w:vMerge w:val="continue"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</w:p>
        </w:tc>
        <w:tc>
          <w:tcPr>
            <w:tcW w:w="5294" w:type="dxa"/>
            <w:gridSpan w:val="2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cs="宋体" w:asciiTheme="minorEastAsia" w:hAnsiTheme="minorEastAsia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  <w:highlight w:val="none"/>
              </w:rPr>
              <w:t>1-3个月/1个月以内出国交流项目</w:t>
            </w:r>
          </w:p>
        </w:tc>
        <w:tc>
          <w:tcPr>
            <w:tcW w:w="1900" w:type="dxa"/>
            <w:vAlign w:val="center"/>
          </w:tcPr>
          <w:p>
            <w:pPr>
              <w:spacing w:line="300" w:lineRule="exact"/>
              <w:jc w:val="center"/>
              <w:rPr>
                <w:rFonts w:hint="eastAsia" w:cs="宋体" w:asciiTheme="minorEastAsia" w:hAnsiTheme="minorEastAsia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  <w:highlight w:val="none"/>
              </w:rPr>
              <w:t>（1/0.5）分/次</w:t>
            </w:r>
          </w:p>
        </w:tc>
        <w:tc>
          <w:tcPr>
            <w:tcW w:w="1984" w:type="dxa"/>
            <w:vMerge w:val="continue"/>
            <w:vAlign w:val="center"/>
          </w:tcPr>
          <w:p>
            <w:pPr>
              <w:widowControl/>
              <w:spacing w:line="280" w:lineRule="exact"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" w:hRule="atLeast"/>
        </w:trPr>
        <w:tc>
          <w:tcPr>
            <w:tcW w:w="1136" w:type="dxa"/>
            <w:vMerge w:val="continue"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</w:p>
        </w:tc>
        <w:tc>
          <w:tcPr>
            <w:tcW w:w="5294" w:type="dxa"/>
            <w:gridSpan w:val="2"/>
            <w:vAlign w:val="center"/>
          </w:tcPr>
          <w:p>
            <w:pPr>
              <w:widowControl/>
              <w:spacing w:line="300" w:lineRule="exact"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托福80分及以上、GRE1200分（新GRE310分）及以上、雅思6分及以上</w:t>
            </w:r>
          </w:p>
        </w:tc>
        <w:tc>
          <w:tcPr>
            <w:tcW w:w="1900" w:type="dxa"/>
            <w:vAlign w:val="center"/>
          </w:tcPr>
          <w:p>
            <w:pPr>
              <w:spacing w:line="300" w:lineRule="exact"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2分</w:t>
            </w:r>
            <w:r>
              <w:rPr>
                <w:rFonts w:cs="宋体" w:asciiTheme="minorEastAsia" w:hAnsiTheme="minorEastAsia"/>
                <w:kern w:val="0"/>
                <w:sz w:val="18"/>
                <w:szCs w:val="18"/>
              </w:rPr>
              <w:t>/</w:t>
            </w: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项</w:t>
            </w:r>
          </w:p>
        </w:tc>
        <w:tc>
          <w:tcPr>
            <w:tcW w:w="1984" w:type="dxa"/>
            <w:vMerge w:val="continue"/>
            <w:vAlign w:val="center"/>
          </w:tcPr>
          <w:p>
            <w:pPr>
              <w:widowControl/>
              <w:spacing w:line="280" w:lineRule="exact"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1136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科研能力类（65分）</w:t>
            </w:r>
          </w:p>
        </w:tc>
        <w:tc>
          <w:tcPr>
            <w:tcW w:w="861" w:type="dxa"/>
            <w:vMerge w:val="restart"/>
            <w:vAlign w:val="center"/>
          </w:tcPr>
          <w:p>
            <w:pPr>
              <w:widowControl/>
              <w:spacing w:line="280" w:lineRule="exact"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大学生科技创新计划</w:t>
            </w:r>
          </w:p>
        </w:tc>
        <w:tc>
          <w:tcPr>
            <w:tcW w:w="4433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国家、省、校、院大学生创新项目</w:t>
            </w:r>
            <w:r>
              <w:rPr>
                <w:rFonts w:cs="宋体" w:asciiTheme="minorEastAsia" w:hAnsiTheme="minorEastAsia"/>
                <w:kern w:val="0"/>
                <w:sz w:val="18"/>
                <w:szCs w:val="18"/>
              </w:rPr>
              <w:t>(</w:t>
            </w: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主持</w:t>
            </w:r>
            <w:r>
              <w:rPr>
                <w:rFonts w:cs="宋体" w:asciiTheme="minorEastAsia" w:hAnsiTheme="minorEastAsia"/>
                <w:kern w:val="0"/>
                <w:sz w:val="18"/>
                <w:szCs w:val="18"/>
              </w:rPr>
              <w:t>/</w:t>
            </w: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参与</w:t>
            </w:r>
            <w:r>
              <w:rPr>
                <w:rFonts w:cs="宋体" w:asciiTheme="minorEastAsia" w:hAnsiTheme="minorEastAsia"/>
                <w:kern w:val="0"/>
                <w:sz w:val="18"/>
                <w:szCs w:val="18"/>
              </w:rPr>
              <w:t>)</w:t>
            </w:r>
          </w:p>
        </w:tc>
        <w:tc>
          <w:tcPr>
            <w:tcW w:w="1900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（3</w:t>
            </w:r>
            <w:r>
              <w:rPr>
                <w:rFonts w:cs="宋体" w:asciiTheme="minorEastAsia" w:hAnsiTheme="minorEastAsia"/>
                <w:kern w:val="0"/>
                <w:sz w:val="18"/>
                <w:szCs w:val="18"/>
              </w:rPr>
              <w:t>/</w:t>
            </w: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1.5）分</w:t>
            </w:r>
            <w:r>
              <w:rPr>
                <w:rFonts w:cs="宋体" w:asciiTheme="minorEastAsia" w:hAnsiTheme="minorEastAsia"/>
                <w:kern w:val="0"/>
                <w:sz w:val="18"/>
                <w:szCs w:val="18"/>
              </w:rPr>
              <w:t>/</w:t>
            </w: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次</w:t>
            </w:r>
          </w:p>
        </w:tc>
        <w:tc>
          <w:tcPr>
            <w:tcW w:w="1984" w:type="dxa"/>
            <w:vMerge w:val="restart"/>
            <w:vAlign w:val="center"/>
          </w:tcPr>
          <w:p>
            <w:pPr>
              <w:widowControl/>
              <w:spacing w:line="280" w:lineRule="exact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cs="宋体" w:asciiTheme="minorEastAsia" w:hAnsiTheme="minorEastAsia"/>
                <w:kern w:val="0"/>
                <w:sz w:val="18"/>
                <w:szCs w:val="18"/>
              </w:rPr>
              <w:t>1</w:t>
            </w: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.累计满65分止；</w:t>
            </w:r>
          </w:p>
          <w:p>
            <w:pPr>
              <w:widowControl/>
              <w:spacing w:line="280" w:lineRule="exact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cs="宋体" w:asciiTheme="minorEastAsia" w:hAnsiTheme="minorEastAsia"/>
                <w:kern w:val="0"/>
                <w:sz w:val="18"/>
                <w:szCs w:val="18"/>
              </w:rPr>
              <w:t>2</w:t>
            </w: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.SRT延期考核不合格不得分。同一项目仅以最高分值计1次。校团委/学工处创新创业项目仅计1项；</w:t>
            </w:r>
          </w:p>
          <w:p>
            <w:pPr>
              <w:widowControl/>
              <w:spacing w:line="280" w:lineRule="exact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cs="宋体" w:asciiTheme="minorEastAsia" w:hAnsiTheme="minorEastAsia"/>
                <w:kern w:val="0"/>
                <w:sz w:val="18"/>
                <w:szCs w:val="18"/>
              </w:rPr>
              <w:t>3</w:t>
            </w: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.发表论文/发明专利需与所学专业相关，高水平论文须与本人前期研究相关，具体由学院领导小组审查认定。论文须提交封面、目录、全文复印件，如果已接收，须提供文章稿件，录用通知和汇款凭证，增刊除外，时间截至材料申报截止日期；</w:t>
            </w:r>
          </w:p>
          <w:p>
            <w:pPr>
              <w:spacing w:line="280" w:lineRule="exact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cs="宋体" w:asciiTheme="minorEastAsia" w:hAnsiTheme="minorEastAsia"/>
                <w:kern w:val="0"/>
                <w:sz w:val="18"/>
                <w:szCs w:val="18"/>
              </w:rPr>
              <w:t>4</w:t>
            </w: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.若为团体奖，个人排名须前3；其他成员按1/3计分。科技竞赛级别以证书落款单位为准。</w:t>
            </w:r>
          </w:p>
          <w:p>
            <w:pPr>
              <w:spacing w:line="280" w:lineRule="exact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5.同一项目参赛以最高成绩计。</w:t>
            </w:r>
          </w:p>
          <w:p>
            <w:pPr>
              <w:spacing w:line="280" w:lineRule="exact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36" w:type="dxa"/>
            <w:vMerge w:val="continue"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</w:p>
        </w:tc>
        <w:tc>
          <w:tcPr>
            <w:tcW w:w="861" w:type="dxa"/>
            <w:vMerge w:val="continue"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</w:p>
        </w:tc>
        <w:tc>
          <w:tcPr>
            <w:tcW w:w="4433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校团委/学工处创新创业项目</w:t>
            </w:r>
            <w:r>
              <w:rPr>
                <w:rFonts w:cs="宋体" w:asciiTheme="minorEastAsia" w:hAnsiTheme="minorEastAsia"/>
                <w:kern w:val="0"/>
                <w:sz w:val="18"/>
                <w:szCs w:val="18"/>
              </w:rPr>
              <w:t>(</w:t>
            </w: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主持</w:t>
            </w:r>
            <w:r>
              <w:rPr>
                <w:rFonts w:cs="宋体" w:asciiTheme="minorEastAsia" w:hAnsiTheme="minorEastAsia"/>
                <w:kern w:val="0"/>
                <w:sz w:val="18"/>
                <w:szCs w:val="18"/>
              </w:rPr>
              <w:t>/</w:t>
            </w: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参与</w:t>
            </w:r>
            <w:r>
              <w:rPr>
                <w:rFonts w:cs="宋体" w:asciiTheme="minorEastAsia" w:hAnsiTheme="minorEastAsia"/>
                <w:kern w:val="0"/>
                <w:sz w:val="18"/>
                <w:szCs w:val="18"/>
              </w:rPr>
              <w:t>)</w:t>
            </w:r>
          </w:p>
        </w:tc>
        <w:tc>
          <w:tcPr>
            <w:tcW w:w="1900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（3</w:t>
            </w:r>
            <w:r>
              <w:rPr>
                <w:rFonts w:cs="宋体" w:asciiTheme="minorEastAsia" w:hAnsiTheme="minorEastAsia"/>
                <w:kern w:val="0"/>
                <w:sz w:val="18"/>
                <w:szCs w:val="18"/>
              </w:rPr>
              <w:t>/</w:t>
            </w: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1.5）分</w:t>
            </w:r>
            <w:r>
              <w:rPr>
                <w:rFonts w:cs="宋体" w:asciiTheme="minorEastAsia" w:hAnsiTheme="minorEastAsia"/>
                <w:kern w:val="0"/>
                <w:sz w:val="18"/>
                <w:szCs w:val="18"/>
              </w:rPr>
              <w:t>/</w:t>
            </w: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次</w:t>
            </w:r>
          </w:p>
        </w:tc>
        <w:tc>
          <w:tcPr>
            <w:tcW w:w="1984" w:type="dxa"/>
            <w:vMerge w:val="continue"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36" w:type="dxa"/>
            <w:vMerge w:val="continue"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</w:p>
        </w:tc>
        <w:tc>
          <w:tcPr>
            <w:tcW w:w="861" w:type="dxa"/>
            <w:vMerge w:val="restart"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国家</w:t>
            </w:r>
          </w:p>
          <w:p>
            <w:pPr>
              <w:spacing w:line="320" w:lineRule="exact"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专利</w:t>
            </w:r>
          </w:p>
        </w:tc>
        <w:tc>
          <w:tcPr>
            <w:tcW w:w="4433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授权国家发明专利（排名1/2/3）</w:t>
            </w:r>
          </w:p>
        </w:tc>
        <w:tc>
          <w:tcPr>
            <w:tcW w:w="1900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（45/10/1）分</w:t>
            </w:r>
            <w:r>
              <w:rPr>
                <w:rFonts w:cs="宋体" w:asciiTheme="minorEastAsia" w:hAnsiTheme="minorEastAsia"/>
                <w:kern w:val="0"/>
                <w:sz w:val="18"/>
                <w:szCs w:val="18"/>
              </w:rPr>
              <w:t>/</w:t>
            </w: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项</w:t>
            </w:r>
          </w:p>
        </w:tc>
        <w:tc>
          <w:tcPr>
            <w:tcW w:w="1984" w:type="dxa"/>
            <w:vMerge w:val="continue"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" w:hRule="atLeast"/>
        </w:trPr>
        <w:tc>
          <w:tcPr>
            <w:tcW w:w="1136" w:type="dxa"/>
            <w:vMerge w:val="continue"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</w:p>
        </w:tc>
        <w:tc>
          <w:tcPr>
            <w:tcW w:w="861" w:type="dxa"/>
            <w:vMerge w:val="continue"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</w:p>
        </w:tc>
        <w:tc>
          <w:tcPr>
            <w:tcW w:w="4433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cs="宋体" w:asciiTheme="minorEastAsia" w:hAnsiTheme="minorEastAsia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18"/>
                <w:szCs w:val="18"/>
              </w:rPr>
              <w:t>经鉴定已受理发明专利（排名1/2）</w:t>
            </w:r>
          </w:p>
        </w:tc>
        <w:tc>
          <w:tcPr>
            <w:tcW w:w="1900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cs="宋体" w:asciiTheme="minorEastAsia" w:hAnsiTheme="minorEastAsia"/>
                <w:color w:val="000000" w:themeColor="text1"/>
                <w:kern w:val="0"/>
                <w:sz w:val="18"/>
                <w:szCs w:val="18"/>
                <w:highlight w:val="yellow"/>
              </w:rPr>
            </w:pPr>
            <w:r>
              <w:rPr>
                <w:rFonts w:hint="eastAsia"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</w:rPr>
              <w:t>（</w:t>
            </w:r>
            <w:r>
              <w:rPr>
                <w:rFonts w:hint="eastAsia"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  <w:lang w:val="en-US" w:eastAsia="zh-CN"/>
              </w:rPr>
              <w:t>2</w:t>
            </w:r>
            <w:r>
              <w:rPr>
                <w:rFonts w:hint="eastAsia"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</w:rPr>
              <w:t>/0.5）分</w:t>
            </w:r>
            <w:r>
              <w:rPr>
                <w:rFonts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</w:rPr>
              <w:t>/</w:t>
            </w:r>
            <w:r>
              <w:rPr>
                <w:rFonts w:hint="eastAsia"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</w:rPr>
              <w:t>项</w:t>
            </w:r>
          </w:p>
        </w:tc>
        <w:tc>
          <w:tcPr>
            <w:tcW w:w="1984" w:type="dxa"/>
            <w:vMerge w:val="continue"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" w:hRule="atLeast"/>
        </w:trPr>
        <w:tc>
          <w:tcPr>
            <w:tcW w:w="1136" w:type="dxa"/>
            <w:vMerge w:val="continue"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</w:p>
        </w:tc>
        <w:tc>
          <w:tcPr>
            <w:tcW w:w="861" w:type="dxa"/>
            <w:vMerge w:val="continue"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</w:p>
        </w:tc>
        <w:tc>
          <w:tcPr>
            <w:tcW w:w="4433" w:type="dxa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cs="宋体" w:asciiTheme="minorEastAsia" w:hAnsiTheme="minorEastAsia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18"/>
                <w:szCs w:val="18"/>
              </w:rPr>
              <w:t>授权实用新型或外观专利、软件著作权（排名1）</w:t>
            </w:r>
          </w:p>
        </w:tc>
        <w:tc>
          <w:tcPr>
            <w:tcW w:w="1900" w:type="dxa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cs="宋体" w:asciiTheme="minorEastAsia" w:hAnsiTheme="minorEastAsia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18"/>
                <w:szCs w:val="18"/>
              </w:rPr>
              <w:t>4分</w:t>
            </w:r>
            <w:r>
              <w:rPr>
                <w:rFonts w:cs="宋体" w:asciiTheme="minorEastAsia" w:hAnsiTheme="minorEastAsia"/>
                <w:color w:val="000000" w:themeColor="text1"/>
                <w:kern w:val="0"/>
                <w:sz w:val="18"/>
                <w:szCs w:val="18"/>
              </w:rPr>
              <w:t>/</w:t>
            </w: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18"/>
                <w:szCs w:val="18"/>
              </w:rPr>
              <w:t>项</w:t>
            </w:r>
          </w:p>
        </w:tc>
        <w:tc>
          <w:tcPr>
            <w:tcW w:w="1984" w:type="dxa"/>
            <w:vMerge w:val="continue"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36" w:type="dxa"/>
            <w:vMerge w:val="continue"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</w:p>
        </w:tc>
        <w:tc>
          <w:tcPr>
            <w:tcW w:w="861" w:type="dxa"/>
            <w:vMerge w:val="restart"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论文</w:t>
            </w:r>
          </w:p>
          <w:p>
            <w:pPr>
              <w:widowControl/>
              <w:spacing w:line="320" w:lineRule="exact"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发表</w:t>
            </w:r>
          </w:p>
        </w:tc>
        <w:tc>
          <w:tcPr>
            <w:tcW w:w="4433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cs="宋体" w:asciiTheme="minorEastAsia" w:hAnsiTheme="minorEastAsia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18"/>
                <w:szCs w:val="18"/>
              </w:rPr>
              <w:t>SCI源刊物收录论文</w:t>
            </w:r>
            <w:r>
              <w:rPr>
                <w:rFonts w:hint="eastAsia"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</w:rPr>
              <w:t>（排名第1作者）</w:t>
            </w: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18"/>
                <w:szCs w:val="18"/>
              </w:rPr>
              <w:t>（需院免推领导小组认定）</w:t>
            </w:r>
          </w:p>
        </w:tc>
        <w:tc>
          <w:tcPr>
            <w:tcW w:w="1900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cs="宋体" w:asciiTheme="minorEastAsia" w:hAnsiTheme="minorEastAsia"/>
                <w:color w:val="000000" w:themeColor="text1"/>
                <w:w w:val="98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w w:val="98"/>
                <w:kern w:val="0"/>
                <w:sz w:val="18"/>
                <w:szCs w:val="18"/>
              </w:rPr>
              <w:t>30-60分/篇</w:t>
            </w:r>
          </w:p>
        </w:tc>
        <w:tc>
          <w:tcPr>
            <w:tcW w:w="1984" w:type="dxa"/>
            <w:vMerge w:val="continue"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" w:hRule="atLeast"/>
        </w:trPr>
        <w:tc>
          <w:tcPr>
            <w:tcW w:w="1136" w:type="dxa"/>
            <w:vMerge w:val="continue"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</w:p>
        </w:tc>
        <w:tc>
          <w:tcPr>
            <w:tcW w:w="861" w:type="dxa"/>
            <w:vMerge w:val="continue"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</w:p>
        </w:tc>
        <w:tc>
          <w:tcPr>
            <w:tcW w:w="4433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cs="宋体" w:asciiTheme="minorEastAsia" w:hAnsiTheme="minorEastAsia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18"/>
                <w:szCs w:val="18"/>
              </w:rPr>
              <w:t>EI收录论文、《南京农业大学自然科学核心期刊目录》一类学术期刊论文</w:t>
            </w:r>
            <w:r>
              <w:rPr>
                <w:rFonts w:hint="eastAsia"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</w:rPr>
              <w:t>（排名第1作者）</w:t>
            </w:r>
          </w:p>
        </w:tc>
        <w:tc>
          <w:tcPr>
            <w:tcW w:w="1900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cs="宋体" w:asciiTheme="minorEastAsia" w:hAnsiTheme="minorEastAsia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18"/>
                <w:szCs w:val="18"/>
              </w:rPr>
              <w:t>20分</w:t>
            </w:r>
            <w:r>
              <w:rPr>
                <w:rFonts w:cs="宋体" w:asciiTheme="minorEastAsia" w:hAnsiTheme="minorEastAsia"/>
                <w:color w:val="000000" w:themeColor="text1"/>
                <w:kern w:val="0"/>
                <w:sz w:val="18"/>
                <w:szCs w:val="18"/>
              </w:rPr>
              <w:t>/</w:t>
            </w: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18"/>
                <w:szCs w:val="18"/>
              </w:rPr>
              <w:t>篇</w:t>
            </w:r>
          </w:p>
        </w:tc>
        <w:tc>
          <w:tcPr>
            <w:tcW w:w="1984" w:type="dxa"/>
            <w:vMerge w:val="continue"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1136" w:type="dxa"/>
            <w:vMerge w:val="continue"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</w:p>
        </w:tc>
        <w:tc>
          <w:tcPr>
            <w:tcW w:w="861" w:type="dxa"/>
            <w:vMerge w:val="continue"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</w:p>
        </w:tc>
        <w:tc>
          <w:tcPr>
            <w:tcW w:w="4433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cs="宋体" w:asciiTheme="minorEastAsia" w:hAnsiTheme="minorEastAsia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18"/>
                <w:szCs w:val="18"/>
              </w:rPr>
              <w:t>《南京农业大学自然科学核心期刊目录》二类学术期刊论文</w:t>
            </w:r>
            <w:r>
              <w:rPr>
                <w:rFonts w:hint="eastAsia"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</w:rPr>
              <w:t>（排名第1作者）</w:t>
            </w:r>
          </w:p>
        </w:tc>
        <w:tc>
          <w:tcPr>
            <w:tcW w:w="1900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cs="宋体" w:asciiTheme="minorEastAsia" w:hAnsiTheme="minorEastAsia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18"/>
                <w:szCs w:val="18"/>
              </w:rPr>
              <w:t>10分</w:t>
            </w:r>
            <w:r>
              <w:rPr>
                <w:rFonts w:cs="宋体" w:asciiTheme="minorEastAsia" w:hAnsiTheme="minorEastAsia"/>
                <w:color w:val="000000" w:themeColor="text1"/>
                <w:kern w:val="0"/>
                <w:sz w:val="18"/>
                <w:szCs w:val="18"/>
              </w:rPr>
              <w:t>/</w:t>
            </w: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18"/>
                <w:szCs w:val="18"/>
              </w:rPr>
              <w:t>篇</w:t>
            </w:r>
          </w:p>
        </w:tc>
        <w:tc>
          <w:tcPr>
            <w:tcW w:w="1984" w:type="dxa"/>
            <w:vMerge w:val="continue"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1136" w:type="dxa"/>
            <w:vMerge w:val="continue"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</w:p>
        </w:tc>
        <w:tc>
          <w:tcPr>
            <w:tcW w:w="861" w:type="dxa"/>
            <w:vMerge w:val="continue"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</w:p>
        </w:tc>
        <w:tc>
          <w:tcPr>
            <w:tcW w:w="4433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cs="宋体" w:asciiTheme="minorEastAsia" w:hAnsiTheme="minorEastAsia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18"/>
                <w:szCs w:val="18"/>
              </w:rPr>
              <w:t>《南京农业大学自然科学核心期刊目录》三类学术期刊论文</w:t>
            </w:r>
            <w:r>
              <w:rPr>
                <w:rFonts w:hint="eastAsia"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</w:rPr>
              <w:t>（排名第1作者）</w:t>
            </w:r>
          </w:p>
        </w:tc>
        <w:tc>
          <w:tcPr>
            <w:tcW w:w="1900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cs="宋体" w:asciiTheme="minorEastAsia" w:hAnsiTheme="minorEastAsia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18"/>
                <w:szCs w:val="18"/>
              </w:rPr>
              <w:t>3分</w:t>
            </w:r>
            <w:r>
              <w:rPr>
                <w:rFonts w:cs="宋体" w:asciiTheme="minorEastAsia" w:hAnsiTheme="minorEastAsia"/>
                <w:color w:val="000000" w:themeColor="text1"/>
                <w:kern w:val="0"/>
                <w:sz w:val="18"/>
                <w:szCs w:val="18"/>
              </w:rPr>
              <w:t>/</w:t>
            </w: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18"/>
                <w:szCs w:val="18"/>
              </w:rPr>
              <w:t>篇</w:t>
            </w:r>
          </w:p>
        </w:tc>
        <w:tc>
          <w:tcPr>
            <w:tcW w:w="1984" w:type="dxa"/>
            <w:vMerge w:val="continue"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" w:hRule="atLeast"/>
        </w:trPr>
        <w:tc>
          <w:tcPr>
            <w:tcW w:w="1136" w:type="dxa"/>
            <w:vMerge w:val="continue"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</w:p>
        </w:tc>
        <w:tc>
          <w:tcPr>
            <w:tcW w:w="861" w:type="dxa"/>
            <w:vMerge w:val="restart"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课</w:t>
            </w:r>
          </w:p>
          <w:p>
            <w:pPr>
              <w:widowControl/>
              <w:spacing w:line="320" w:lineRule="exact"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外</w:t>
            </w:r>
          </w:p>
          <w:p>
            <w:pPr>
              <w:widowControl/>
              <w:spacing w:line="320" w:lineRule="exact"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科</w:t>
            </w:r>
          </w:p>
          <w:p>
            <w:pPr>
              <w:widowControl/>
              <w:spacing w:line="320" w:lineRule="exact"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技</w:t>
            </w:r>
          </w:p>
          <w:p>
            <w:pPr>
              <w:widowControl/>
              <w:spacing w:line="320" w:lineRule="exact"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竞</w:t>
            </w:r>
          </w:p>
          <w:p>
            <w:pPr>
              <w:widowControl/>
              <w:spacing w:line="320" w:lineRule="exact"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赛</w:t>
            </w:r>
          </w:p>
        </w:tc>
        <w:tc>
          <w:tcPr>
            <w:tcW w:w="4433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</w:rPr>
              <w:t>国家级/江苏省/校“挑战杯”特等奖</w:t>
            </w:r>
          </w:p>
        </w:tc>
        <w:tc>
          <w:tcPr>
            <w:tcW w:w="1900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</w:rPr>
              <w:t>(60/45/5)分/项</w:t>
            </w:r>
          </w:p>
        </w:tc>
        <w:tc>
          <w:tcPr>
            <w:tcW w:w="1984" w:type="dxa"/>
            <w:vMerge w:val="continue"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" w:hRule="atLeast"/>
        </w:trPr>
        <w:tc>
          <w:tcPr>
            <w:tcW w:w="1136" w:type="dxa"/>
            <w:vMerge w:val="continue"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</w:p>
        </w:tc>
        <w:tc>
          <w:tcPr>
            <w:tcW w:w="861" w:type="dxa"/>
            <w:vMerge w:val="continue"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</w:p>
        </w:tc>
        <w:tc>
          <w:tcPr>
            <w:tcW w:w="4433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</w:rPr>
              <w:t>国家级/江苏省/校“挑战杯”一等奖或“创青春”金奖或 “互联网+”一等奖以上</w:t>
            </w:r>
          </w:p>
        </w:tc>
        <w:tc>
          <w:tcPr>
            <w:tcW w:w="1900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</w:rPr>
              <w:t>（55/30/4）分/项</w:t>
            </w:r>
          </w:p>
        </w:tc>
        <w:tc>
          <w:tcPr>
            <w:tcW w:w="1984" w:type="dxa"/>
            <w:vMerge w:val="continue"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" w:hRule="atLeast"/>
        </w:trPr>
        <w:tc>
          <w:tcPr>
            <w:tcW w:w="1136" w:type="dxa"/>
            <w:vMerge w:val="continue"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</w:p>
        </w:tc>
        <w:tc>
          <w:tcPr>
            <w:tcW w:w="861" w:type="dxa"/>
            <w:vMerge w:val="continue"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</w:p>
        </w:tc>
        <w:tc>
          <w:tcPr>
            <w:tcW w:w="4433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</w:rPr>
              <w:t>国家级/江苏省/校“挑战杯”二等奖或“创青春”银奖或“互联网+”二等奖</w:t>
            </w:r>
          </w:p>
        </w:tc>
        <w:tc>
          <w:tcPr>
            <w:tcW w:w="1900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</w:rPr>
              <w:t>（50/20/3）分/项</w:t>
            </w:r>
          </w:p>
        </w:tc>
        <w:tc>
          <w:tcPr>
            <w:tcW w:w="1984" w:type="dxa"/>
            <w:vMerge w:val="continue"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" w:hRule="atLeast"/>
        </w:trPr>
        <w:tc>
          <w:tcPr>
            <w:tcW w:w="1136" w:type="dxa"/>
            <w:vMerge w:val="continue"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</w:p>
        </w:tc>
        <w:tc>
          <w:tcPr>
            <w:tcW w:w="861" w:type="dxa"/>
            <w:vMerge w:val="continue"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</w:p>
        </w:tc>
        <w:tc>
          <w:tcPr>
            <w:tcW w:w="4433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</w:rPr>
              <w:t>国家级/江苏省/校“挑战杯”三等奖或“创青春”铜奖或“互联网+”三等奖</w:t>
            </w:r>
          </w:p>
        </w:tc>
        <w:tc>
          <w:tcPr>
            <w:tcW w:w="1900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</w:rPr>
              <w:t>（45/6/2）分/项</w:t>
            </w:r>
          </w:p>
        </w:tc>
        <w:tc>
          <w:tcPr>
            <w:tcW w:w="1984" w:type="dxa"/>
            <w:vMerge w:val="continue"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" w:hRule="atLeast"/>
        </w:trPr>
        <w:tc>
          <w:tcPr>
            <w:tcW w:w="1136" w:type="dxa"/>
            <w:vMerge w:val="continue"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</w:p>
        </w:tc>
        <w:tc>
          <w:tcPr>
            <w:tcW w:w="861" w:type="dxa"/>
            <w:vMerge w:val="continue"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</w:p>
        </w:tc>
        <w:tc>
          <w:tcPr>
            <w:tcW w:w="4433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全国一等奖（不含以上赛事，主办：国家部委</w:t>
            </w:r>
            <w:r>
              <w:rPr>
                <w:rFonts w:cs="宋体" w:asciiTheme="minorEastAsia" w:hAnsiTheme="minorEastAsia"/>
                <w:kern w:val="0"/>
                <w:sz w:val="18"/>
                <w:szCs w:val="18"/>
              </w:rPr>
              <w:t>/</w:t>
            </w: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其他）</w:t>
            </w:r>
          </w:p>
        </w:tc>
        <w:tc>
          <w:tcPr>
            <w:tcW w:w="1900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（15</w:t>
            </w:r>
            <w:r>
              <w:rPr>
                <w:rFonts w:cs="宋体" w:asciiTheme="minorEastAsia" w:hAnsiTheme="minorEastAsia"/>
                <w:kern w:val="0"/>
                <w:sz w:val="18"/>
                <w:szCs w:val="18"/>
              </w:rPr>
              <w:t>/</w:t>
            </w: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5）分</w:t>
            </w:r>
            <w:r>
              <w:rPr>
                <w:rFonts w:cs="宋体" w:asciiTheme="minorEastAsia" w:hAnsiTheme="minorEastAsia"/>
                <w:kern w:val="0"/>
                <w:sz w:val="18"/>
                <w:szCs w:val="18"/>
              </w:rPr>
              <w:t>/</w:t>
            </w: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次</w:t>
            </w:r>
          </w:p>
        </w:tc>
        <w:tc>
          <w:tcPr>
            <w:tcW w:w="1984" w:type="dxa"/>
            <w:vMerge w:val="continue"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1136" w:type="dxa"/>
            <w:vMerge w:val="continue"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</w:p>
        </w:tc>
        <w:tc>
          <w:tcPr>
            <w:tcW w:w="861" w:type="dxa"/>
            <w:vMerge w:val="continue"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</w:p>
        </w:tc>
        <w:tc>
          <w:tcPr>
            <w:tcW w:w="4433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全国二等奖（不含以上赛事，主办：国家部委</w:t>
            </w:r>
            <w:r>
              <w:rPr>
                <w:rFonts w:cs="宋体" w:asciiTheme="minorEastAsia" w:hAnsiTheme="minorEastAsia"/>
                <w:kern w:val="0"/>
                <w:sz w:val="18"/>
                <w:szCs w:val="18"/>
              </w:rPr>
              <w:t>/</w:t>
            </w: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其他）</w:t>
            </w:r>
          </w:p>
        </w:tc>
        <w:tc>
          <w:tcPr>
            <w:tcW w:w="1900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（8</w:t>
            </w:r>
            <w:r>
              <w:rPr>
                <w:rFonts w:cs="宋体" w:asciiTheme="minorEastAsia" w:hAnsiTheme="minorEastAsia"/>
                <w:kern w:val="0"/>
                <w:sz w:val="18"/>
                <w:szCs w:val="18"/>
              </w:rPr>
              <w:t>/</w:t>
            </w: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3）分</w:t>
            </w:r>
            <w:r>
              <w:rPr>
                <w:rFonts w:cs="宋体" w:asciiTheme="minorEastAsia" w:hAnsiTheme="minorEastAsia"/>
                <w:kern w:val="0"/>
                <w:sz w:val="18"/>
                <w:szCs w:val="18"/>
              </w:rPr>
              <w:t>/</w:t>
            </w: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次</w:t>
            </w:r>
          </w:p>
        </w:tc>
        <w:tc>
          <w:tcPr>
            <w:tcW w:w="1984" w:type="dxa"/>
            <w:vMerge w:val="continue"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" w:hRule="atLeast"/>
        </w:trPr>
        <w:tc>
          <w:tcPr>
            <w:tcW w:w="1136" w:type="dxa"/>
            <w:vMerge w:val="continue"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</w:p>
        </w:tc>
        <w:tc>
          <w:tcPr>
            <w:tcW w:w="861" w:type="dxa"/>
            <w:vMerge w:val="continue"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</w:p>
        </w:tc>
        <w:tc>
          <w:tcPr>
            <w:tcW w:w="4433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全国三等奖（不含以上赛事，主办：国家部委</w:t>
            </w:r>
            <w:r>
              <w:rPr>
                <w:rFonts w:cs="宋体" w:asciiTheme="minorEastAsia" w:hAnsiTheme="minorEastAsia"/>
                <w:kern w:val="0"/>
                <w:sz w:val="18"/>
                <w:szCs w:val="18"/>
              </w:rPr>
              <w:t>/</w:t>
            </w: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其他）</w:t>
            </w:r>
          </w:p>
        </w:tc>
        <w:tc>
          <w:tcPr>
            <w:tcW w:w="1900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（6</w:t>
            </w:r>
            <w:r>
              <w:rPr>
                <w:rFonts w:cs="宋体" w:asciiTheme="minorEastAsia" w:hAnsiTheme="minorEastAsia"/>
                <w:kern w:val="0"/>
                <w:sz w:val="18"/>
                <w:szCs w:val="18"/>
              </w:rPr>
              <w:t>/</w:t>
            </w: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1）分</w:t>
            </w:r>
            <w:r>
              <w:rPr>
                <w:rFonts w:cs="宋体" w:asciiTheme="minorEastAsia" w:hAnsiTheme="minorEastAsia"/>
                <w:kern w:val="0"/>
                <w:sz w:val="18"/>
                <w:szCs w:val="18"/>
              </w:rPr>
              <w:t>/</w:t>
            </w: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次</w:t>
            </w:r>
          </w:p>
        </w:tc>
        <w:tc>
          <w:tcPr>
            <w:tcW w:w="1984" w:type="dxa"/>
            <w:vMerge w:val="continue"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136" w:type="dxa"/>
            <w:vMerge w:val="continue"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</w:p>
        </w:tc>
        <w:tc>
          <w:tcPr>
            <w:tcW w:w="861" w:type="dxa"/>
            <w:vMerge w:val="continue"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</w:p>
        </w:tc>
        <w:tc>
          <w:tcPr>
            <w:tcW w:w="4433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省级其他科技赛事一等奖以上（主办：厅级机关</w:t>
            </w:r>
            <w:r>
              <w:rPr>
                <w:rFonts w:cs="宋体" w:asciiTheme="minorEastAsia" w:hAnsiTheme="minorEastAsia"/>
                <w:kern w:val="0"/>
                <w:sz w:val="18"/>
                <w:szCs w:val="18"/>
              </w:rPr>
              <w:t>/</w:t>
            </w: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其他）</w:t>
            </w:r>
          </w:p>
        </w:tc>
        <w:tc>
          <w:tcPr>
            <w:tcW w:w="1900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（8</w:t>
            </w:r>
            <w:r>
              <w:rPr>
                <w:rFonts w:cs="宋体" w:asciiTheme="minorEastAsia" w:hAnsiTheme="minorEastAsia"/>
                <w:kern w:val="0"/>
                <w:sz w:val="18"/>
                <w:szCs w:val="18"/>
              </w:rPr>
              <w:t>/</w:t>
            </w: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4）分</w:t>
            </w:r>
            <w:r>
              <w:rPr>
                <w:rFonts w:cs="宋体" w:asciiTheme="minorEastAsia" w:hAnsiTheme="minorEastAsia"/>
                <w:kern w:val="0"/>
                <w:sz w:val="18"/>
                <w:szCs w:val="18"/>
              </w:rPr>
              <w:t>/</w:t>
            </w: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次</w:t>
            </w:r>
          </w:p>
        </w:tc>
        <w:tc>
          <w:tcPr>
            <w:tcW w:w="1984" w:type="dxa"/>
            <w:vMerge w:val="continue"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136" w:type="dxa"/>
            <w:vMerge w:val="continue"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</w:p>
        </w:tc>
        <w:tc>
          <w:tcPr>
            <w:tcW w:w="861" w:type="dxa"/>
            <w:vMerge w:val="continue"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</w:p>
        </w:tc>
        <w:tc>
          <w:tcPr>
            <w:tcW w:w="4433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省级其他科技赛事二等奖（主办：厅级机关</w:t>
            </w:r>
            <w:r>
              <w:rPr>
                <w:rFonts w:cs="宋体" w:asciiTheme="minorEastAsia" w:hAnsiTheme="minorEastAsia"/>
                <w:kern w:val="0"/>
                <w:sz w:val="18"/>
                <w:szCs w:val="18"/>
              </w:rPr>
              <w:t>/</w:t>
            </w: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其他）</w:t>
            </w:r>
          </w:p>
        </w:tc>
        <w:tc>
          <w:tcPr>
            <w:tcW w:w="1900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（4</w:t>
            </w:r>
            <w:r>
              <w:rPr>
                <w:rFonts w:cs="宋体" w:asciiTheme="minorEastAsia" w:hAnsiTheme="minorEastAsia"/>
                <w:kern w:val="0"/>
                <w:sz w:val="18"/>
                <w:szCs w:val="18"/>
              </w:rPr>
              <w:t>/</w:t>
            </w: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2）分</w:t>
            </w:r>
            <w:r>
              <w:rPr>
                <w:rFonts w:cs="宋体" w:asciiTheme="minorEastAsia" w:hAnsiTheme="minorEastAsia"/>
                <w:kern w:val="0"/>
                <w:sz w:val="18"/>
                <w:szCs w:val="18"/>
              </w:rPr>
              <w:t>/</w:t>
            </w: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次</w:t>
            </w:r>
          </w:p>
        </w:tc>
        <w:tc>
          <w:tcPr>
            <w:tcW w:w="1984" w:type="dxa"/>
            <w:vMerge w:val="continue"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136" w:type="dxa"/>
            <w:vMerge w:val="continue"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</w:p>
        </w:tc>
        <w:tc>
          <w:tcPr>
            <w:tcW w:w="861" w:type="dxa"/>
            <w:vMerge w:val="continue"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</w:p>
        </w:tc>
        <w:tc>
          <w:tcPr>
            <w:tcW w:w="4433" w:type="dxa"/>
            <w:vAlign w:val="center"/>
          </w:tcPr>
          <w:p>
            <w:pPr>
              <w:spacing w:line="300" w:lineRule="exact"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校级科技类竞赛（一</w:t>
            </w:r>
            <w:r>
              <w:rPr>
                <w:rFonts w:cs="宋体" w:asciiTheme="minorEastAsia" w:hAnsiTheme="minorEastAsia"/>
                <w:kern w:val="0"/>
                <w:sz w:val="18"/>
                <w:szCs w:val="18"/>
              </w:rPr>
              <w:t>/</w:t>
            </w: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二/三等奖）</w:t>
            </w:r>
          </w:p>
        </w:tc>
        <w:tc>
          <w:tcPr>
            <w:tcW w:w="1900" w:type="dxa"/>
            <w:vAlign w:val="center"/>
          </w:tcPr>
          <w:p>
            <w:pPr>
              <w:spacing w:line="300" w:lineRule="exact"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cs="宋体" w:asciiTheme="minorEastAsia" w:hAnsiTheme="minorEastAsia"/>
                <w:kern w:val="0"/>
                <w:sz w:val="18"/>
                <w:szCs w:val="18"/>
              </w:rPr>
              <w:t>(</w:t>
            </w: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3/2/1</w:t>
            </w:r>
            <w:r>
              <w:rPr>
                <w:rFonts w:cs="宋体" w:asciiTheme="minorEastAsia" w:hAnsiTheme="minorEastAsia"/>
                <w:kern w:val="0"/>
                <w:sz w:val="18"/>
                <w:szCs w:val="18"/>
              </w:rPr>
              <w:t>)</w:t>
            </w: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分</w:t>
            </w:r>
            <w:r>
              <w:rPr>
                <w:rFonts w:cs="宋体" w:asciiTheme="minorEastAsia" w:hAnsiTheme="minorEastAsia"/>
                <w:kern w:val="0"/>
                <w:sz w:val="18"/>
                <w:szCs w:val="18"/>
              </w:rPr>
              <w:t>/</w:t>
            </w: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次</w:t>
            </w:r>
          </w:p>
        </w:tc>
        <w:tc>
          <w:tcPr>
            <w:tcW w:w="1984" w:type="dxa"/>
            <w:vMerge w:val="continue"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1136" w:type="dxa"/>
            <w:vMerge w:val="continue"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</w:p>
        </w:tc>
        <w:tc>
          <w:tcPr>
            <w:tcW w:w="861" w:type="dxa"/>
            <w:vMerge w:val="continue"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</w:p>
        </w:tc>
        <w:tc>
          <w:tcPr>
            <w:tcW w:w="4433" w:type="dxa"/>
            <w:vAlign w:val="center"/>
          </w:tcPr>
          <w:p>
            <w:pPr>
              <w:spacing w:line="300" w:lineRule="exact"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其他校级及以上科技竞赛（需院免推领导小组认定）</w:t>
            </w:r>
          </w:p>
        </w:tc>
        <w:tc>
          <w:tcPr>
            <w:tcW w:w="1900" w:type="dxa"/>
            <w:vAlign w:val="center"/>
          </w:tcPr>
          <w:p>
            <w:pPr>
              <w:spacing w:line="300" w:lineRule="exact"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（0.5-10）分</w:t>
            </w:r>
            <w:r>
              <w:rPr>
                <w:rFonts w:cs="宋体" w:asciiTheme="minorEastAsia" w:hAnsiTheme="minorEastAsia"/>
                <w:kern w:val="0"/>
                <w:sz w:val="18"/>
                <w:szCs w:val="18"/>
              </w:rPr>
              <w:t>/</w:t>
            </w: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次</w:t>
            </w:r>
          </w:p>
        </w:tc>
        <w:tc>
          <w:tcPr>
            <w:tcW w:w="1984" w:type="dxa"/>
            <w:vMerge w:val="continue"/>
            <w:vAlign w:val="center"/>
          </w:tcPr>
          <w:p>
            <w:pPr>
              <w:widowControl/>
              <w:spacing w:line="320" w:lineRule="exact"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</w:p>
        </w:tc>
      </w:tr>
    </w:tbl>
    <w:p>
      <w:pPr>
        <w:pStyle w:val="2"/>
        <w:spacing w:before="0" w:beforeAutospacing="0" w:after="0" w:afterAutospacing="0" w:line="300" w:lineRule="exact"/>
        <w:jc w:val="both"/>
        <w:rPr>
          <w:rFonts w:hint="eastAsia" w:asciiTheme="minorEastAsia" w:hAnsiTheme="minorEastAsia" w:eastAsiaTheme="minorEastAsia" w:cstheme="minorEastAsia"/>
          <w:color w:val="000000"/>
          <w:sz w:val="18"/>
          <w:szCs w:val="18"/>
          <w:highlight w:val="none"/>
          <w:lang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  <w:highlight w:val="none"/>
        </w:rPr>
        <w:t>注： 综合成绩= GPA折算分×0.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  <w:highlight w:val="none"/>
          <w:lang w:val="en-US" w:eastAsia="zh-CN"/>
        </w:rPr>
        <w:t>70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  <w:highlight w:val="none"/>
        </w:rPr>
        <w:t>+ 素质能力得分×0.3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  <w:highlight w:val="none"/>
          <w:lang w:val="en-US" w:eastAsia="zh-CN"/>
        </w:rPr>
        <w:t>0</w:t>
      </w: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  <w:highlight w:val="none"/>
        </w:rPr>
        <w:t>；GPA折算分=100×GPA/专业第1名GPA。</w:t>
      </w:r>
    </w:p>
    <w:sectPr>
      <w:pgSz w:w="11906" w:h="16838"/>
      <w:pgMar w:top="873" w:right="1077" w:bottom="873" w:left="107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7D27666"/>
    <w:multiLevelType w:val="singleLevel"/>
    <w:tmpl w:val="57D27666"/>
    <w:lvl w:ilvl="0" w:tentative="0">
      <w:start w:val="1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A17F9"/>
    <w:rsid w:val="00005AE5"/>
    <w:rsid w:val="000235FE"/>
    <w:rsid w:val="00054994"/>
    <w:rsid w:val="00062A16"/>
    <w:rsid w:val="00082E5F"/>
    <w:rsid w:val="000978F4"/>
    <w:rsid w:val="000B677D"/>
    <w:rsid w:val="000C0B0F"/>
    <w:rsid w:val="000D48F1"/>
    <w:rsid w:val="000E2884"/>
    <w:rsid w:val="000F711A"/>
    <w:rsid w:val="00100157"/>
    <w:rsid w:val="0010279A"/>
    <w:rsid w:val="001061A5"/>
    <w:rsid w:val="00154C35"/>
    <w:rsid w:val="0017688E"/>
    <w:rsid w:val="001A1E4B"/>
    <w:rsid w:val="001D41B1"/>
    <w:rsid w:val="001D4CE1"/>
    <w:rsid w:val="001D769E"/>
    <w:rsid w:val="001E304D"/>
    <w:rsid w:val="002952AE"/>
    <w:rsid w:val="002E0BC5"/>
    <w:rsid w:val="002F6BF5"/>
    <w:rsid w:val="00316D5A"/>
    <w:rsid w:val="003255ED"/>
    <w:rsid w:val="00333C51"/>
    <w:rsid w:val="0035479C"/>
    <w:rsid w:val="00396318"/>
    <w:rsid w:val="003A1FE3"/>
    <w:rsid w:val="003B7577"/>
    <w:rsid w:val="003D01D4"/>
    <w:rsid w:val="004033CA"/>
    <w:rsid w:val="00412F1D"/>
    <w:rsid w:val="004415F2"/>
    <w:rsid w:val="004559FC"/>
    <w:rsid w:val="00462614"/>
    <w:rsid w:val="00463688"/>
    <w:rsid w:val="00475F04"/>
    <w:rsid w:val="004D4541"/>
    <w:rsid w:val="005251E4"/>
    <w:rsid w:val="00535EC6"/>
    <w:rsid w:val="0054394E"/>
    <w:rsid w:val="005616E6"/>
    <w:rsid w:val="0057556C"/>
    <w:rsid w:val="005E2D35"/>
    <w:rsid w:val="005E6DAF"/>
    <w:rsid w:val="005F49AC"/>
    <w:rsid w:val="006111C5"/>
    <w:rsid w:val="00620C04"/>
    <w:rsid w:val="00620D4F"/>
    <w:rsid w:val="0062621E"/>
    <w:rsid w:val="0062633F"/>
    <w:rsid w:val="00631129"/>
    <w:rsid w:val="006404D2"/>
    <w:rsid w:val="006630A4"/>
    <w:rsid w:val="00667129"/>
    <w:rsid w:val="006A0A53"/>
    <w:rsid w:val="006C579C"/>
    <w:rsid w:val="006F0A96"/>
    <w:rsid w:val="00762936"/>
    <w:rsid w:val="007A36B1"/>
    <w:rsid w:val="007D711F"/>
    <w:rsid w:val="007E1F37"/>
    <w:rsid w:val="007E6988"/>
    <w:rsid w:val="008030FE"/>
    <w:rsid w:val="008213D5"/>
    <w:rsid w:val="0082247F"/>
    <w:rsid w:val="00847CB6"/>
    <w:rsid w:val="00870100"/>
    <w:rsid w:val="00877949"/>
    <w:rsid w:val="00894954"/>
    <w:rsid w:val="008C378D"/>
    <w:rsid w:val="008D4A87"/>
    <w:rsid w:val="008E1790"/>
    <w:rsid w:val="008F4039"/>
    <w:rsid w:val="0090284D"/>
    <w:rsid w:val="00924A2F"/>
    <w:rsid w:val="00947E40"/>
    <w:rsid w:val="00962894"/>
    <w:rsid w:val="00990768"/>
    <w:rsid w:val="009D491A"/>
    <w:rsid w:val="009E6FBE"/>
    <w:rsid w:val="009F5FB7"/>
    <w:rsid w:val="00A35D89"/>
    <w:rsid w:val="00A64A57"/>
    <w:rsid w:val="00A662E6"/>
    <w:rsid w:val="00A943EB"/>
    <w:rsid w:val="00AC45E4"/>
    <w:rsid w:val="00AD30AA"/>
    <w:rsid w:val="00AE33E1"/>
    <w:rsid w:val="00B00FB0"/>
    <w:rsid w:val="00B31435"/>
    <w:rsid w:val="00BA632C"/>
    <w:rsid w:val="00BB70B0"/>
    <w:rsid w:val="00BE41EC"/>
    <w:rsid w:val="00C16326"/>
    <w:rsid w:val="00C16675"/>
    <w:rsid w:val="00C521B0"/>
    <w:rsid w:val="00C7283F"/>
    <w:rsid w:val="00C91660"/>
    <w:rsid w:val="00C97D98"/>
    <w:rsid w:val="00D003D0"/>
    <w:rsid w:val="00D112F9"/>
    <w:rsid w:val="00D41E46"/>
    <w:rsid w:val="00D436DD"/>
    <w:rsid w:val="00D71E07"/>
    <w:rsid w:val="00DC184D"/>
    <w:rsid w:val="00E00855"/>
    <w:rsid w:val="00E161A0"/>
    <w:rsid w:val="00EA17F9"/>
    <w:rsid w:val="00EA1BD4"/>
    <w:rsid w:val="00EE15F5"/>
    <w:rsid w:val="00EF0590"/>
    <w:rsid w:val="00F27C57"/>
    <w:rsid w:val="00F42358"/>
    <w:rsid w:val="00F44ABC"/>
    <w:rsid w:val="00FA1DE2"/>
    <w:rsid w:val="00FB51B4"/>
    <w:rsid w:val="00FB6FB1"/>
    <w:rsid w:val="00FD6FF6"/>
    <w:rsid w:val="00FE7B75"/>
    <w:rsid w:val="03AE2D7C"/>
    <w:rsid w:val="04307F23"/>
    <w:rsid w:val="054334E0"/>
    <w:rsid w:val="07A74828"/>
    <w:rsid w:val="08D079C2"/>
    <w:rsid w:val="0F2A14CE"/>
    <w:rsid w:val="19AA06F1"/>
    <w:rsid w:val="1F992F5E"/>
    <w:rsid w:val="20AE739E"/>
    <w:rsid w:val="2348048C"/>
    <w:rsid w:val="25881BEC"/>
    <w:rsid w:val="2E6209A8"/>
    <w:rsid w:val="2F9A1B21"/>
    <w:rsid w:val="304E1F69"/>
    <w:rsid w:val="472B2933"/>
    <w:rsid w:val="4DC2093A"/>
    <w:rsid w:val="55714ACC"/>
    <w:rsid w:val="5D4F08D8"/>
    <w:rsid w:val="5ED00304"/>
    <w:rsid w:val="5ED119CF"/>
    <w:rsid w:val="612E7D15"/>
    <w:rsid w:val="62246B5A"/>
    <w:rsid w:val="6D1611FA"/>
    <w:rsid w:val="6FDD51F0"/>
    <w:rsid w:val="6FEC62A8"/>
    <w:rsid w:val="778B5626"/>
    <w:rsid w:val="77B17376"/>
    <w:rsid w:val="781B76EB"/>
    <w:rsid w:val="7DDA38F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15"/>
    <w:qFormat/>
    <w:uiPriority w:val="99"/>
    <w:pPr>
      <w:widowControl/>
      <w:spacing w:before="100" w:beforeAutospacing="1" w:after="100" w:afterAutospacing="1"/>
      <w:jc w:val="left"/>
    </w:pPr>
    <w:rPr>
      <w:rFonts w:ascii="Calibri" w:hAnsi="Calibri" w:eastAsia="宋体" w:cs="Times New Roman"/>
      <w:kern w:val="0"/>
      <w:sz w:val="20"/>
      <w:szCs w:val="20"/>
    </w:rPr>
  </w:style>
  <w:style w:type="paragraph" w:styleId="3">
    <w:name w:val="Date"/>
    <w:basedOn w:val="1"/>
    <w:next w:val="1"/>
    <w:link w:val="11"/>
    <w:semiHidden/>
    <w:unhideWhenUsed/>
    <w:qFormat/>
    <w:uiPriority w:val="99"/>
    <w:pPr>
      <w:ind w:left="100" w:leftChars="2500"/>
    </w:pPr>
  </w:style>
  <w:style w:type="paragraph" w:styleId="4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paragraph" w:customStyle="1" w:styleId="10">
    <w:name w:val="列出段落1"/>
    <w:basedOn w:val="1"/>
    <w:qFormat/>
    <w:uiPriority w:val="99"/>
    <w:pPr>
      <w:ind w:firstLine="420" w:firstLineChars="200"/>
    </w:pPr>
    <w:rPr>
      <w:rFonts w:ascii="Calibri" w:hAnsi="Calibri" w:eastAsia="宋体" w:cs="Times New Roman"/>
    </w:rPr>
  </w:style>
  <w:style w:type="character" w:customStyle="1" w:styleId="11">
    <w:name w:val="日期 Char"/>
    <w:basedOn w:val="8"/>
    <w:link w:val="3"/>
    <w:semiHidden/>
    <w:qFormat/>
    <w:uiPriority w:val="99"/>
  </w:style>
  <w:style w:type="character" w:customStyle="1" w:styleId="12">
    <w:name w:val="批注框文本 Char"/>
    <w:basedOn w:val="8"/>
    <w:link w:val="4"/>
    <w:semiHidden/>
    <w:qFormat/>
    <w:uiPriority w:val="99"/>
    <w:rPr>
      <w:sz w:val="18"/>
      <w:szCs w:val="18"/>
    </w:rPr>
  </w:style>
  <w:style w:type="character" w:customStyle="1" w:styleId="13">
    <w:name w:val="页眉 Char"/>
    <w:basedOn w:val="8"/>
    <w:link w:val="6"/>
    <w:qFormat/>
    <w:uiPriority w:val="99"/>
    <w:rPr>
      <w:sz w:val="18"/>
      <w:szCs w:val="18"/>
    </w:rPr>
  </w:style>
  <w:style w:type="character" w:customStyle="1" w:styleId="14">
    <w:name w:val="页脚 Char"/>
    <w:basedOn w:val="8"/>
    <w:link w:val="5"/>
    <w:qFormat/>
    <w:uiPriority w:val="99"/>
    <w:rPr>
      <w:sz w:val="18"/>
      <w:szCs w:val="18"/>
    </w:rPr>
  </w:style>
  <w:style w:type="character" w:customStyle="1" w:styleId="15">
    <w:name w:val="正文文本缩进 Char"/>
    <w:basedOn w:val="8"/>
    <w:link w:val="2"/>
    <w:qFormat/>
    <w:uiPriority w:val="99"/>
    <w:rPr>
      <w:rFonts w:ascii="Calibri" w:hAnsi="Calibri" w:eastAsia="宋体" w:cs="Times New Roman"/>
      <w:kern w:val="0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280</Words>
  <Characters>1600</Characters>
  <Lines>13</Lines>
  <Paragraphs>3</Paragraphs>
  <TotalTime>214</TotalTime>
  <ScaleCrop>false</ScaleCrop>
  <LinksUpToDate>false</LinksUpToDate>
  <CharactersWithSpaces>1877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2018-09-07T10:03:00Z</dcterms:created>
  <dc:creator>user</dc:creator>
  <cp:lastModifiedBy>陈宏强</cp:lastModifiedBy>
  <cp:lastPrinted>2021-09-10T07:13:58Z</cp:lastPrinted>
  <dcterms:modified xsi:type="dcterms:W3CDTF">2021-09-10T08:59:19Z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2FB5CE3DB3704D8586D4EB8690078051</vt:lpwstr>
  </property>
</Properties>
</file>